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A4A7B" w14:textId="79286484" w:rsidR="00960006" w:rsidRPr="00960006" w:rsidRDefault="00960006" w:rsidP="00960006">
      <w:pPr>
        <w:widowControl w:val="0"/>
        <w:tabs>
          <w:tab w:val="left" w:pos="1701"/>
          <w:tab w:val="right" w:pos="9923"/>
        </w:tabs>
        <w:spacing w:after="120"/>
        <w:rPr>
          <w:rFonts w:ascii="Arial" w:eastAsia="MS Mincho" w:hAnsi="Arial" w:cs="Arial"/>
          <w:b/>
          <w:sz w:val="24"/>
          <w:szCs w:val="24"/>
          <w:lang w:val="en-GB"/>
        </w:rPr>
      </w:pPr>
      <w:bookmarkStart w:id="0" w:name="_Toc20955728"/>
      <w:r w:rsidRPr="00960006">
        <w:rPr>
          <w:rFonts w:ascii="Arial" w:eastAsia="MS Mincho" w:hAnsi="Arial" w:cs="Arial"/>
          <w:b/>
          <w:sz w:val="24"/>
          <w:szCs w:val="24"/>
          <w:lang w:val="en-GB"/>
        </w:rPr>
        <w:t>3GPP TSG-RAN WG2 Meeting #113bis electronic</w:t>
      </w:r>
      <w:r w:rsidRPr="00960006">
        <w:rPr>
          <w:rFonts w:ascii="Arial" w:eastAsia="MS Mincho" w:hAnsi="Arial" w:cs="Arial"/>
          <w:b/>
          <w:sz w:val="24"/>
          <w:szCs w:val="24"/>
          <w:lang w:val="en-GB"/>
        </w:rPr>
        <w:tab/>
        <w:t xml:space="preserve"> </w:t>
      </w:r>
      <w:r w:rsidR="00D67CFF" w:rsidRPr="00D67CFF">
        <w:rPr>
          <w:rFonts w:ascii="Arial" w:eastAsia="MS Mincho" w:hAnsi="Arial" w:cs="Arial"/>
          <w:b/>
          <w:sz w:val="24"/>
          <w:szCs w:val="24"/>
          <w:lang w:val="en-GB"/>
        </w:rPr>
        <w:t>R2-2104147</w:t>
      </w:r>
    </w:p>
    <w:p w14:paraId="4DF771E8" w14:textId="77777777" w:rsidR="00960006" w:rsidRDefault="00960006" w:rsidP="00960006">
      <w:pPr>
        <w:widowControl w:val="0"/>
        <w:tabs>
          <w:tab w:val="left" w:pos="1701"/>
          <w:tab w:val="right" w:pos="9923"/>
        </w:tabs>
        <w:spacing w:after="120"/>
        <w:rPr>
          <w:rFonts w:ascii="Arial" w:eastAsia="MS Mincho" w:hAnsi="Arial" w:cs="Arial"/>
          <w:b/>
          <w:sz w:val="24"/>
          <w:szCs w:val="24"/>
          <w:lang w:val="en-GB"/>
        </w:rPr>
      </w:pPr>
      <w:r w:rsidRPr="00960006">
        <w:rPr>
          <w:rFonts w:ascii="Arial" w:eastAsia="MS Mincho" w:hAnsi="Arial" w:cs="Arial"/>
          <w:b/>
          <w:sz w:val="24"/>
          <w:szCs w:val="24"/>
          <w:lang w:val="en-GB"/>
        </w:rPr>
        <w:t>Online, April 12 – April 20, 2021</w:t>
      </w:r>
    </w:p>
    <w:p w14:paraId="6C48E420" w14:textId="4D6F9D6E" w:rsidR="002F32B4" w:rsidRPr="00283C05" w:rsidRDefault="002F32B4" w:rsidP="00960006">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431C7CD4"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577A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r w:rsidR="00960006">
        <w:rPr>
          <w:rFonts w:cs="Arial"/>
          <w:bCs/>
          <w:sz w:val="24"/>
          <w:lang w:val="pt-PT"/>
        </w:rPr>
        <w:t xml:space="preserve"> </w:t>
      </w:r>
      <w:r w:rsidR="00960006" w:rsidRPr="00960006">
        <w:rPr>
          <w:rFonts w:cs="Arial"/>
          <w:bCs/>
          <w:sz w:val="24"/>
          <w:lang w:val="pt-PT"/>
        </w:rPr>
        <w:t>Idle/Inactive mode</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6ACC714C"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AB7738">
        <w:rPr>
          <w:rFonts w:ascii="Arial" w:hAnsi="Arial" w:cs="Arial"/>
          <w:sz w:val="24"/>
        </w:rPr>
        <w:t>indication and idle mode enhancements</w:t>
      </w:r>
      <w:r w:rsidR="00347D33">
        <w:rPr>
          <w:rFonts w:ascii="Arial" w:hAnsi="Arial" w:cs="Arial"/>
          <w:sz w:val="24"/>
        </w:rPr>
        <w:t xml:space="preserve"> </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eastAsia="Times New Roman" w:cs="Arial"/>
          <w:szCs w:val="20"/>
          <w:lang w:val="en-GB"/>
        </w:rPr>
      </w:pPr>
      <w:proofErr w:type="gramStart"/>
      <w:r w:rsidRPr="00283C05">
        <w:rPr>
          <w:rFonts w:eastAsia="Times New Roman" w:cs="Arial"/>
          <w:szCs w:val="20"/>
          <w:lang w:val="en-GB"/>
        </w:rPr>
        <w:t>1</w:t>
      </w:r>
      <w:r w:rsidR="00954FE6">
        <w:rPr>
          <w:rFonts w:eastAsia="Times New Roman" w:cs="Arial"/>
          <w:szCs w:val="20"/>
          <w:lang w:val="en-GB"/>
        </w:rPr>
        <w:t xml:space="preserve">  </w:t>
      </w:r>
      <w:r w:rsidRPr="00283C05">
        <w:rPr>
          <w:rFonts w:eastAsia="Times New Roman" w:cs="Arial"/>
          <w:szCs w:val="20"/>
          <w:lang w:val="en-GB"/>
        </w:rPr>
        <w:t>Introduction</w:t>
      </w:r>
      <w:proofErr w:type="gramEnd"/>
    </w:p>
    <w:p w14:paraId="3E3E5CED" w14:textId="786A0054" w:rsidR="00F06D07" w:rsidRDefault="00367CCD" w:rsidP="005D7166">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367CCD">
      <w:pPr>
        <w:spacing w:after="60" w:line="240" w:lineRule="auto"/>
        <w:rPr>
          <w:rFonts w:ascii="Arial" w:eastAsia="Times New Roman" w:hAnsi="Arial" w:cs="Arial"/>
          <w:lang w:val="en-GB" w:eastAsia="x-none"/>
        </w:rPr>
      </w:pPr>
    </w:p>
    <w:p w14:paraId="042570A1" w14:textId="77777777" w:rsidR="00F06D07" w:rsidRPr="005D7166" w:rsidRDefault="00F06D07" w:rsidP="00F06D07">
      <w:pPr>
        <w:spacing w:after="60" w:line="240" w:lineRule="auto"/>
        <w:rPr>
          <w:rFonts w:eastAsia="Times New Roman" w:cs="Times New Roman"/>
          <w:lang w:val="en-GB" w:eastAsia="x-none"/>
        </w:rPr>
      </w:pPr>
      <w:r w:rsidRPr="005D7166">
        <w:rPr>
          <w:rFonts w:eastAsia="Times New Roman" w:cs="Times New Roman"/>
          <w:lang w:val="en-GB" w:eastAsia="x-none"/>
        </w:rPr>
        <w:t>The following control plane procedures enhancements should be specified (see TR 38.821)</w:t>
      </w:r>
    </w:p>
    <w:p w14:paraId="2B5E7D39" w14:textId="53783E33" w:rsidR="00F06D07" w:rsidRPr="005D7166" w:rsidRDefault="00F06D07" w:rsidP="00F06D07">
      <w:pPr>
        <w:pStyle w:val="ListParagraph"/>
        <w:numPr>
          <w:ilvl w:val="0"/>
          <w:numId w:val="40"/>
        </w:numPr>
        <w:spacing w:after="60" w:line="240" w:lineRule="auto"/>
        <w:rPr>
          <w:rFonts w:eastAsia="Times New Roman" w:cs="Times New Roman"/>
          <w:lang w:val="en-GB" w:eastAsia="x-none"/>
        </w:rPr>
      </w:pPr>
      <w:r w:rsidRPr="005D7166">
        <w:rPr>
          <w:rFonts w:eastAsia="Times New Roman" w:cs="Times New Roman"/>
          <w:lang w:val="en-GB" w:eastAsia="x-none"/>
        </w:rPr>
        <w:t xml:space="preserve">Idle mode: </w:t>
      </w:r>
    </w:p>
    <w:p w14:paraId="62F6B80A" w14:textId="68422A7F" w:rsidR="00F06D07"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additional assistance information for cell selection/reselection (</w:t>
      </w:r>
      <w:proofErr w:type="gramStart"/>
      <w:r w:rsidRPr="005D7166">
        <w:rPr>
          <w:rFonts w:eastAsia="Times New Roman" w:cs="Times New Roman"/>
          <w:lang w:val="en-GB" w:eastAsia="x-none"/>
        </w:rPr>
        <w:t>e.g.</w:t>
      </w:r>
      <w:proofErr w:type="gramEnd"/>
      <w:r w:rsidRPr="005D7166">
        <w:rPr>
          <w:rFonts w:eastAsia="Times New Roman" w:cs="Times New Roman"/>
          <w:lang w:val="en-GB" w:eastAsia="x-none"/>
        </w:rPr>
        <w:t xml:space="preserve"> using UE location information, satellite Ephemeris information)</w:t>
      </w:r>
    </w:p>
    <w:p w14:paraId="5622EBC8" w14:textId="07BB8454" w:rsidR="00CB7B89"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NTN (satellite/HAPS) cell specific information in SIB</w:t>
      </w:r>
      <w:r w:rsidR="00790290" w:rsidRPr="005D7166">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4A322225" w:rsidR="00223DE9" w:rsidRPr="00CB7B89" w:rsidRDefault="00C4692D" w:rsidP="005D7166">
      <w:pPr>
        <w:rPr>
          <w:lang w:val="en-GB"/>
        </w:rPr>
      </w:pPr>
      <w:r>
        <w:rPr>
          <w:lang w:val="en-GB"/>
        </w:rPr>
        <w:t xml:space="preserve">RAN2 has made some agreements in RAN2#112e </w:t>
      </w:r>
      <w:r w:rsidR="00B82460">
        <w:rPr>
          <w:lang w:val="en-GB"/>
        </w:rPr>
        <w:t xml:space="preserve">and RAN2#113e, </w:t>
      </w:r>
      <w:r>
        <w:rPr>
          <w:lang w:val="en-GB"/>
        </w:rPr>
        <w:t xml:space="preserve">for control plane idle mode procedures </w:t>
      </w:r>
      <w:r w:rsidR="00B82460">
        <w:rPr>
          <w:lang w:val="en-GB"/>
        </w:rPr>
        <w:t xml:space="preserve">including agreements related to the identification or indication of an NTN network type </w:t>
      </w:r>
      <w:r>
        <w:rPr>
          <w:lang w:val="en-GB"/>
        </w:rPr>
        <w:t>as shown below:</w:t>
      </w:r>
      <w:r w:rsidR="004A6A49">
        <w:rPr>
          <w:lang w:val="en-GB"/>
        </w:rPr>
        <w:t xml:space="preserve"> </w:t>
      </w:r>
    </w:p>
    <w:p w14:paraId="103FA978" w14:textId="3C810145" w:rsidR="00B82460" w:rsidRPr="00B82460" w:rsidRDefault="00B82460" w:rsidP="005D7166">
      <w:pPr>
        <w:pBdr>
          <w:top w:val="single" w:sz="4" w:space="1" w:color="auto"/>
          <w:left w:val="single" w:sz="4" w:space="4" w:color="auto"/>
          <w:bottom w:val="single" w:sz="4" w:space="1" w:color="auto"/>
          <w:right w:val="single" w:sz="4" w:space="4" w:color="auto"/>
        </w:pBdr>
        <w:rPr>
          <w:highlight w:val="yellow"/>
          <w:lang w:val="en-GB"/>
        </w:rPr>
      </w:pPr>
      <w:r>
        <w:rPr>
          <w:lang w:val="en-GB"/>
        </w:rPr>
        <w:t>RAN2#111e/112e</w:t>
      </w:r>
      <w:r w:rsidRPr="00B82460">
        <w:rPr>
          <w:lang w:val="en-GB"/>
        </w:rPr>
        <w:t xml:space="preserve"> Agreements:</w:t>
      </w:r>
      <w:r>
        <w:rPr>
          <w:lang w:val="en-GB"/>
        </w:rPr>
        <w:t xml:space="preserve"> </w:t>
      </w:r>
    </w:p>
    <w:p w14:paraId="448C2A52" w14:textId="4FDDEFA7" w:rsidR="00C4692D" w:rsidRDefault="00C4692D" w:rsidP="005D7166">
      <w:pPr>
        <w:pBdr>
          <w:top w:val="single" w:sz="4" w:space="1" w:color="auto"/>
          <w:left w:val="single" w:sz="4" w:space="4" w:color="auto"/>
          <w:bottom w:val="single" w:sz="4" w:space="1" w:color="auto"/>
          <w:right w:val="single" w:sz="4" w:space="4" w:color="auto"/>
        </w:pBdr>
        <w:rPr>
          <w:lang w:val="en-GB"/>
        </w:rPr>
      </w:pPr>
      <w:r w:rsidRPr="005D7166">
        <w:rPr>
          <w:highlight w:val="yellow"/>
          <w:lang w:val="en-GB"/>
        </w:rPr>
        <w:t>4.</w:t>
      </w:r>
      <w:r w:rsidRPr="005D7166">
        <w:rPr>
          <w:highlight w:val="yellow"/>
          <w:lang w:val="en-GB"/>
        </w:rPr>
        <w:tab/>
        <w:t>The network type (</w:t>
      </w:r>
      <w:proofErr w:type="gramStart"/>
      <w:r w:rsidRPr="005D7166">
        <w:rPr>
          <w:highlight w:val="yellow"/>
          <w:lang w:val="en-GB"/>
        </w:rPr>
        <w:t>i.e.</w:t>
      </w:r>
      <w:proofErr w:type="gramEnd"/>
      <w:r w:rsidRPr="005D7166">
        <w:rPr>
          <w:highlight w:val="yellow"/>
          <w:lang w:val="en-GB"/>
        </w:rPr>
        <w:t xml:space="preserve"> TN or NTN) should be known to UE. FFS whether to achieve this in an implicit or explicit way.</w:t>
      </w:r>
    </w:p>
    <w:p w14:paraId="4EEF1069" w14:textId="38A5E8BA" w:rsidR="00B82460" w:rsidRPr="00B82460" w:rsidRDefault="00B82460" w:rsidP="00B82460">
      <w:pPr>
        <w:pBdr>
          <w:top w:val="single" w:sz="4" w:space="1" w:color="auto"/>
          <w:left w:val="single" w:sz="4" w:space="4" w:color="auto"/>
          <w:bottom w:val="single" w:sz="4" w:space="1" w:color="auto"/>
          <w:right w:val="single" w:sz="4" w:space="4" w:color="auto"/>
        </w:pBdr>
        <w:rPr>
          <w:lang w:val="en-GB"/>
        </w:rPr>
      </w:pPr>
      <w:r>
        <w:rPr>
          <w:lang w:val="en-GB"/>
        </w:rPr>
        <w:t>RAN2#113e</w:t>
      </w:r>
      <w:r w:rsidRPr="00B82460">
        <w:rPr>
          <w:lang w:val="en-GB"/>
        </w:rPr>
        <w:t xml:space="preserve"> Agreements:</w:t>
      </w:r>
    </w:p>
    <w:p w14:paraId="44555C18" w14:textId="5CE22A96" w:rsidR="00B82460" w:rsidRPr="00B82460" w:rsidRDefault="00B82460" w:rsidP="00B82460">
      <w:pPr>
        <w:pBdr>
          <w:top w:val="single" w:sz="4" w:space="1" w:color="auto"/>
          <w:left w:val="single" w:sz="4" w:space="4" w:color="auto"/>
          <w:bottom w:val="single" w:sz="4" w:space="1" w:color="auto"/>
          <w:right w:val="single" w:sz="4" w:space="4" w:color="auto"/>
        </w:pBdr>
        <w:rPr>
          <w:lang w:val="en-GB"/>
        </w:rPr>
      </w:pPr>
      <w:r w:rsidRPr="00855F45">
        <w:rPr>
          <w:highlight w:val="yellow"/>
          <w:lang w:val="en-GB"/>
        </w:rPr>
        <w:t>1.</w:t>
      </w:r>
      <w:r w:rsidRPr="00855F45">
        <w:rPr>
          <w:highlight w:val="yellow"/>
          <w:lang w:val="en-GB"/>
        </w:rPr>
        <w:tab/>
        <w:t>RAN2 thinks that a UE needs to know whether the network is a TN or NTN no later than SIB1 reception.</w:t>
      </w:r>
    </w:p>
    <w:p w14:paraId="03A4AB72" w14:textId="08C73E0A" w:rsidR="00C4692D" w:rsidRDefault="00C4692D" w:rsidP="00B82460">
      <w:pPr>
        <w:pBdr>
          <w:top w:val="single" w:sz="4" w:space="1" w:color="auto"/>
          <w:left w:val="single" w:sz="4" w:space="4" w:color="auto"/>
          <w:bottom w:val="single" w:sz="4" w:space="1" w:color="auto"/>
          <w:right w:val="single" w:sz="4" w:space="4" w:color="auto"/>
        </w:pBdr>
        <w:rPr>
          <w:rFonts w:eastAsia="SimSun"/>
          <w:lang w:eastAsia="ja-JP"/>
        </w:rPr>
      </w:pPr>
    </w:p>
    <w:p w14:paraId="417AEDD1" w14:textId="77777777" w:rsidR="00B82460" w:rsidRDefault="00B82460" w:rsidP="005D7166"/>
    <w:p w14:paraId="05AED96F" w14:textId="6B889A00" w:rsidR="00B82460" w:rsidRDefault="00B82460" w:rsidP="005D7166"/>
    <w:p w14:paraId="63EB7EFF" w14:textId="2402421B" w:rsidR="007E7F09" w:rsidRPr="00C4692D" w:rsidRDefault="00C4692D" w:rsidP="005D7166">
      <w:r w:rsidRPr="00C4692D">
        <w:t xml:space="preserve">Based on the above agreements, the objective of this paper is to progress these </w:t>
      </w:r>
      <w:r>
        <w:t>agreements further and address some of the FFS</w:t>
      </w:r>
      <w:r w:rsidR="005F35D6">
        <w:t>s, specifically related to NTN Indication</w:t>
      </w:r>
      <w:r>
        <w:t>.</w:t>
      </w:r>
    </w:p>
    <w:p w14:paraId="57D4F92F" w14:textId="0F311A1E" w:rsidR="00F5537D" w:rsidRDefault="00223DE9" w:rsidP="00F5537D">
      <w:pPr>
        <w:pStyle w:val="Heading1"/>
        <w:pBdr>
          <w:top w:val="single" w:sz="12" w:space="3" w:color="auto"/>
        </w:pBdr>
        <w:spacing w:after="180" w:line="240" w:lineRule="auto"/>
        <w:rPr>
          <w:rFonts w:eastAsia="Times New Roman" w:cs="Arial"/>
          <w:szCs w:val="20"/>
          <w:lang w:val="en-GB"/>
        </w:rPr>
      </w:pPr>
      <w:r w:rsidRPr="00283C05">
        <w:rPr>
          <w:rFonts w:eastAsia="Times New Roman" w:cs="Arial"/>
          <w:szCs w:val="20"/>
          <w:lang w:val="en-GB"/>
        </w:rPr>
        <w:t>2</w:t>
      </w:r>
      <w:r w:rsidRPr="00283C05">
        <w:rPr>
          <w:rFonts w:eastAsia="Times New Roman" w:cs="Arial"/>
          <w:szCs w:val="20"/>
          <w:lang w:val="en-GB"/>
        </w:rPr>
        <w:tab/>
      </w:r>
      <w:r w:rsidR="00954FE6">
        <w:rPr>
          <w:rFonts w:eastAsia="Times New Roman" w:cs="Arial"/>
          <w:szCs w:val="20"/>
          <w:lang w:val="en-GB"/>
        </w:rPr>
        <w:t xml:space="preserve"> </w:t>
      </w:r>
      <w:r w:rsidRPr="00283C05">
        <w:rPr>
          <w:rFonts w:eastAsia="Times New Roman" w:cs="Arial"/>
          <w:szCs w:val="20"/>
          <w:lang w:val="en-GB"/>
        </w:rPr>
        <w:t>Discussion</w:t>
      </w:r>
    </w:p>
    <w:p w14:paraId="09A25301" w14:textId="77777777" w:rsidR="00D7492D" w:rsidRPr="00E501AE" w:rsidRDefault="00D7492D" w:rsidP="00E501AE">
      <w:pPr>
        <w:rPr>
          <w:lang w:val="en-GB"/>
        </w:rPr>
      </w:pPr>
    </w:p>
    <w:p w14:paraId="0FDE1DDA" w14:textId="0668C3D8" w:rsidR="009F5B13" w:rsidRPr="00E501AE" w:rsidRDefault="009F5B13" w:rsidP="009F5B13">
      <w:pPr>
        <w:pStyle w:val="Heading4"/>
        <w:rPr>
          <w:sz w:val="28"/>
          <w:szCs w:val="22"/>
        </w:rPr>
      </w:pPr>
      <w:r w:rsidRPr="00E501AE">
        <w:rPr>
          <w:sz w:val="28"/>
          <w:szCs w:val="22"/>
        </w:rPr>
        <w:lastRenderedPageBreak/>
        <w:t xml:space="preserve">2.1 </w:t>
      </w:r>
      <w:r w:rsidR="002261F2">
        <w:rPr>
          <w:sz w:val="28"/>
          <w:szCs w:val="22"/>
        </w:rPr>
        <w:t>Rationale</w:t>
      </w:r>
      <w:r w:rsidRPr="00E501AE">
        <w:rPr>
          <w:sz w:val="28"/>
          <w:szCs w:val="22"/>
        </w:rPr>
        <w:t xml:space="preserve"> </w:t>
      </w:r>
      <w:r w:rsidR="005D01CD">
        <w:rPr>
          <w:sz w:val="28"/>
          <w:szCs w:val="22"/>
        </w:rPr>
        <w:t>for Network Identification</w:t>
      </w:r>
    </w:p>
    <w:p w14:paraId="2DCD3667" w14:textId="49B13E60" w:rsidR="009224AD" w:rsidRDefault="00F5537D" w:rsidP="005D7166">
      <w:r w:rsidRPr="00283C05">
        <w:rPr>
          <w:lang w:val="en-GB" w:eastAsia="ja-JP"/>
        </w:rPr>
        <w:t xml:space="preserve">In this section, we </w:t>
      </w:r>
      <w:r w:rsidR="009F5B13">
        <w:rPr>
          <w:lang w:val="en-GB" w:eastAsia="ja-JP"/>
        </w:rPr>
        <w:t xml:space="preserve">discuss the open issue regarding </w:t>
      </w:r>
      <w:r w:rsidR="009224AD">
        <w:rPr>
          <w:lang w:val="en-GB" w:eastAsia="ja-JP"/>
        </w:rPr>
        <w:t xml:space="preserve">the network type to be known to the UE. </w:t>
      </w:r>
      <w:r w:rsidR="009224AD">
        <w:t xml:space="preserve">For mixed network deployments that support both TN and NTN platforms, there may be UEs that are not NTN capable. These UEs should only search and select TN cells. Likewise, UEs supporting only NTNs should also search and select NTN cells. </w:t>
      </w:r>
      <w:r w:rsidR="002261F2">
        <w:t xml:space="preserve">The scenario should be avoided where a </w:t>
      </w:r>
      <w:r w:rsidR="009224AD">
        <w:t xml:space="preserve">UEs </w:t>
      </w:r>
      <w:r w:rsidR="002261F2">
        <w:t xml:space="preserve">attempts access on a particular network/platform that it is </w:t>
      </w:r>
      <w:r w:rsidR="009224AD">
        <w:t xml:space="preserve">not capable </w:t>
      </w:r>
      <w:r w:rsidR="002261F2">
        <w:t>of supporting</w:t>
      </w:r>
      <w:r w:rsidR="009224AD">
        <w:t>. Differentiating between networks and network types from a UE perspective will be essential given NTNs/TNs may be deployed in the same bands and PLMN IDs may also not differentiate the network/platform type.</w:t>
      </w:r>
    </w:p>
    <w:p w14:paraId="34ACCCCF" w14:textId="77777777" w:rsidR="009224AD" w:rsidRDefault="009224AD" w:rsidP="005D7166"/>
    <w:p w14:paraId="6439EE4C" w14:textId="46B92187" w:rsidR="009224AD" w:rsidRDefault="009224AD" w:rsidP="005D7166">
      <w:r>
        <w:t xml:space="preserve">Additionally, UEs supporting both </w:t>
      </w:r>
      <w:proofErr w:type="gramStart"/>
      <w:r>
        <w:t>TNs</w:t>
      </w:r>
      <w:proofErr w:type="gramEnd"/>
      <w:r>
        <w:t xml:space="preserve"> and NTNs will be able to select between the two network types and potentially more than one NTN type. </w:t>
      </w:r>
      <w:r w:rsidR="002261F2">
        <w:t>It is</w:t>
      </w:r>
      <w:r>
        <w:t xml:space="preserve"> necessary to identify and select the appropriate platform and NTN platform type.</w:t>
      </w:r>
    </w:p>
    <w:p w14:paraId="1D77D64B" w14:textId="77777777" w:rsidR="009224AD" w:rsidRDefault="009224AD" w:rsidP="005D7166"/>
    <w:p w14:paraId="1964B851" w14:textId="13AA3CEA" w:rsidR="009224AD" w:rsidRDefault="009224AD" w:rsidP="005D7166">
      <w:r>
        <w:t xml:space="preserve">Based on these potential deployment scenarios, UE capabilities and preferences for a given network platform, the awareness of a network type (NTN versus TN) will be helpful for the UE to find a suitable cell for cell search and cell (re)selection procedures. Latency reduction associated with scanning RF channels may also be beneficial given already long propagation delays. </w:t>
      </w:r>
      <w:r w:rsidR="005376E3">
        <w:t xml:space="preserve">From the identification of the platform and NTN platform type, </w:t>
      </w:r>
      <w:r w:rsidR="007E2A0B">
        <w:t>prioritization and cell (re)selection can be aided.</w:t>
      </w:r>
      <w:r w:rsidR="005376E3">
        <w:t xml:space="preserve"> </w:t>
      </w:r>
      <w:r w:rsidR="007E2A0B">
        <w:t>T</w:t>
      </w:r>
      <w:r w:rsidR="005376E3">
        <w:t xml:space="preserve">he UE may use preferences, such as UE capabilities, service requirements, and Quality of Service </w:t>
      </w:r>
      <w:r w:rsidR="007E2A0B">
        <w:t xml:space="preserve">(e.g., </w:t>
      </w:r>
      <w:r w:rsidR="005376E3">
        <w:t>latency requirements</w:t>
      </w:r>
      <w:r w:rsidR="007E2A0B">
        <w:t>).</w:t>
      </w:r>
    </w:p>
    <w:p w14:paraId="41E44473" w14:textId="77777777" w:rsidR="002261F2" w:rsidRPr="005D7166" w:rsidRDefault="002261F2" w:rsidP="005D7166">
      <w:pPr>
        <w:rPr>
          <w:bCs/>
          <w:i/>
          <w:iCs/>
          <w:lang w:val="en-GB" w:eastAsia="ja-JP"/>
        </w:rPr>
      </w:pPr>
      <w:r w:rsidRPr="005D7166">
        <w:rPr>
          <w:b/>
          <w:i/>
          <w:iCs/>
          <w:lang w:val="en-GB" w:eastAsia="ja-JP"/>
        </w:rPr>
        <w:t xml:space="preserve">Observation 1: </w:t>
      </w:r>
      <w:r w:rsidRPr="005D7166">
        <w:rPr>
          <w:i/>
          <w:iCs/>
          <w:lang w:val="en-GB"/>
        </w:rPr>
        <w:t>The network type (i.e., TN or NTN) shall be known to UE</w:t>
      </w:r>
      <w:r w:rsidRPr="005D7166">
        <w:rPr>
          <w:bCs/>
          <w:i/>
          <w:iCs/>
          <w:lang w:val="en-GB" w:eastAsia="ja-JP"/>
        </w:rPr>
        <w:t>.</w:t>
      </w:r>
    </w:p>
    <w:p w14:paraId="4BBF3464" w14:textId="4973158B" w:rsidR="002261F2" w:rsidRPr="005D7166" w:rsidRDefault="002261F2" w:rsidP="005D7166">
      <w:pPr>
        <w:rPr>
          <w:bCs/>
          <w:i/>
          <w:iCs/>
          <w:lang w:val="en-GB" w:eastAsia="ja-JP"/>
        </w:rPr>
      </w:pPr>
      <w:r w:rsidRPr="005D7166">
        <w:rPr>
          <w:b/>
          <w:i/>
          <w:iCs/>
          <w:lang w:val="en-GB" w:eastAsia="ja-JP"/>
        </w:rPr>
        <w:t xml:space="preserve">Observation 2: </w:t>
      </w:r>
      <w:r w:rsidRPr="005D7166">
        <w:rPr>
          <w:i/>
          <w:iCs/>
          <w:lang w:val="en-GB"/>
        </w:rPr>
        <w:t>The NTN type (e.g., LEO, MEO) shall be known to UE</w:t>
      </w:r>
      <w:r w:rsidRPr="005D7166">
        <w:rPr>
          <w:bCs/>
          <w:i/>
          <w:iCs/>
          <w:lang w:val="en-GB" w:eastAsia="ja-JP"/>
        </w:rPr>
        <w:t>.</w:t>
      </w:r>
    </w:p>
    <w:p w14:paraId="57CE7165" w14:textId="77777777" w:rsidR="00C75D3F" w:rsidRDefault="00C75D3F" w:rsidP="00F5537D">
      <w:pPr>
        <w:rPr>
          <w:rFonts w:ascii="Arial" w:hAnsi="Arial" w:cs="Arial"/>
          <w:lang w:val="en-GB" w:eastAsia="ja-JP"/>
        </w:rPr>
      </w:pPr>
    </w:p>
    <w:p w14:paraId="61B4C8E0" w14:textId="1A9F28FE" w:rsidR="000449CF" w:rsidRDefault="000449CF" w:rsidP="000449CF">
      <w:pPr>
        <w:pStyle w:val="Heading4"/>
        <w:rPr>
          <w:sz w:val="28"/>
          <w:szCs w:val="22"/>
        </w:rPr>
      </w:pPr>
      <w:r w:rsidRPr="00D7492D">
        <w:rPr>
          <w:sz w:val="28"/>
          <w:szCs w:val="22"/>
        </w:rPr>
        <w:t xml:space="preserve">2.2 </w:t>
      </w:r>
      <w:r w:rsidR="002261F2">
        <w:rPr>
          <w:sz w:val="28"/>
          <w:szCs w:val="22"/>
        </w:rPr>
        <w:t>Potential solutions</w:t>
      </w:r>
    </w:p>
    <w:p w14:paraId="66F45EEE" w14:textId="67429307" w:rsidR="006301DC" w:rsidRPr="006301DC" w:rsidRDefault="006301DC" w:rsidP="006301DC">
      <w:pPr>
        <w:pStyle w:val="Heading4"/>
      </w:pPr>
      <w:r>
        <w:t>2.2.1 Explicit versus implicit indication</w:t>
      </w:r>
    </w:p>
    <w:p w14:paraId="787EE876" w14:textId="5FA6211B" w:rsidR="005376E3" w:rsidRDefault="005376E3" w:rsidP="005D7166">
      <w:r>
        <w:t xml:space="preserve">There are two general methodologies </w:t>
      </w:r>
      <w:r w:rsidR="00B82460">
        <w:t xml:space="preserve">that have been </w:t>
      </w:r>
      <w:r>
        <w:t xml:space="preserve">proposed </w:t>
      </w:r>
      <w:r w:rsidR="00B82460">
        <w:t xml:space="preserve">in RAN2 </w:t>
      </w:r>
      <w:r>
        <w:t>for NTN platform indication as follows (or combination thereof):</w:t>
      </w:r>
    </w:p>
    <w:p w14:paraId="37A8FAF7" w14:textId="77777777" w:rsidR="005376E3" w:rsidRDefault="005376E3" w:rsidP="005D7166">
      <w:pPr>
        <w:pStyle w:val="ListParagraph"/>
        <w:numPr>
          <w:ilvl w:val="0"/>
          <w:numId w:val="43"/>
        </w:numPr>
      </w:pPr>
      <w:r>
        <w:t>NTN platform indication may</w:t>
      </w:r>
      <w:r w:rsidRPr="00FF045A">
        <w:t xml:space="preserve"> be signaled </w:t>
      </w:r>
      <w:r>
        <w:t xml:space="preserve">to the UE </w:t>
      </w:r>
      <w:r w:rsidRPr="00FF045A">
        <w:t>in an explicit way</w:t>
      </w:r>
      <w:r>
        <w:t xml:space="preserve"> by the gNB to assist the UE in making decisions for cell (re)selection.</w:t>
      </w:r>
      <w:r w:rsidRPr="00BC4EC1">
        <w:t xml:space="preserve"> </w:t>
      </w:r>
      <w:r>
        <w:t>For simplicity, this does not introduce any ambiguity from the UE perspective, but requires a definition of new indicators(s).</w:t>
      </w:r>
    </w:p>
    <w:p w14:paraId="68B0B88F" w14:textId="20F107CA" w:rsidR="005376E3" w:rsidRDefault="005376E3" w:rsidP="005D7166">
      <w:pPr>
        <w:pStyle w:val="ListParagraph"/>
        <w:numPr>
          <w:ilvl w:val="0"/>
          <w:numId w:val="43"/>
        </w:numPr>
      </w:pPr>
      <w:r>
        <w:t>NTN platform indication may be implied from other, already available information that is already signaled from the gNB to the UE. This does not introduce any additional overhead as far as signaling a separate indication and does not require definition of a separate indicator</w:t>
      </w:r>
      <w:r w:rsidRPr="00FF045A">
        <w:t>.</w:t>
      </w:r>
    </w:p>
    <w:p w14:paraId="23D05C3B" w14:textId="1C0C423A" w:rsidR="005376E3" w:rsidRDefault="005376E3" w:rsidP="005D7166">
      <w:r w:rsidRPr="005376E3">
        <w:t xml:space="preserve">One example of explicit indication of platform type could be a flag set in the existing MIB that is broadcasted by gNBs to UEs. </w:t>
      </w:r>
      <w:r>
        <w:t>However, t</w:t>
      </w:r>
      <w:r w:rsidRPr="005376E3">
        <w:t>here is only one spare bit available in the current Rel-16 MIB defined today, but this could be used to distinguish between TN versus NTN. This indicator could be used along with some additional system information to determine a particular type of NTN.</w:t>
      </w:r>
    </w:p>
    <w:p w14:paraId="699BDC73" w14:textId="4ED3F4DB" w:rsidR="006C5FC4" w:rsidRPr="005D7166" w:rsidRDefault="006C5FC4" w:rsidP="005D7166">
      <w:pPr>
        <w:rPr>
          <w:bCs/>
          <w:i/>
          <w:iCs/>
          <w:lang w:val="en-GB" w:eastAsia="ja-JP"/>
        </w:rPr>
      </w:pPr>
      <w:r w:rsidRPr="005D7166">
        <w:rPr>
          <w:b/>
          <w:i/>
          <w:iCs/>
          <w:lang w:val="en-GB" w:eastAsia="ja-JP"/>
        </w:rPr>
        <w:t xml:space="preserve">Observation 3: </w:t>
      </w:r>
      <w:r w:rsidR="00CD175B" w:rsidRPr="005D7166">
        <w:rPr>
          <w:i/>
          <w:iCs/>
          <w:lang w:val="en-GB"/>
        </w:rPr>
        <w:t>Explicit platform indicator/indication may not be necessary as other already available information may be signalled from the gNB to the UE</w:t>
      </w:r>
      <w:r w:rsidRPr="005D7166">
        <w:rPr>
          <w:bCs/>
          <w:i/>
          <w:iCs/>
          <w:lang w:val="en-GB" w:eastAsia="ja-JP"/>
        </w:rPr>
        <w:t>.</w:t>
      </w:r>
    </w:p>
    <w:p w14:paraId="3465661A" w14:textId="3F9434CA" w:rsidR="00CD175B" w:rsidRDefault="00CD175B" w:rsidP="005D7166">
      <w:pPr>
        <w:rPr>
          <w:i/>
          <w:iCs/>
          <w:lang w:val="en-GB"/>
        </w:rPr>
      </w:pPr>
      <w:r w:rsidRPr="005D7166">
        <w:rPr>
          <w:b/>
          <w:i/>
          <w:iCs/>
          <w:lang w:val="en-GB" w:eastAsia="ja-JP"/>
        </w:rPr>
        <w:t xml:space="preserve">Observation 4: </w:t>
      </w:r>
      <w:r w:rsidRPr="005D7166">
        <w:rPr>
          <w:i/>
          <w:iCs/>
          <w:lang w:val="en-GB"/>
        </w:rPr>
        <w:t>Implicit platform indicator/indication does not require any additional overhead nor require additional definition of a separate indicator.</w:t>
      </w:r>
    </w:p>
    <w:p w14:paraId="33BA0BD7" w14:textId="77777777" w:rsidR="002D77C5" w:rsidRPr="005D7166" w:rsidRDefault="002D77C5" w:rsidP="005D7166">
      <w:pPr>
        <w:rPr>
          <w:i/>
          <w:iCs/>
          <w:lang w:val="en-GB"/>
        </w:rPr>
      </w:pPr>
    </w:p>
    <w:p w14:paraId="740D1757" w14:textId="4C53A2AA" w:rsidR="006301DC" w:rsidRPr="002D77C5" w:rsidRDefault="002D77C5" w:rsidP="002D77C5">
      <w:pPr>
        <w:rPr>
          <w:i/>
          <w:iCs/>
          <w:lang w:val="en-GB" w:eastAsia="ja-JP"/>
        </w:rPr>
      </w:pPr>
      <w:r w:rsidRPr="002D77C5">
        <w:rPr>
          <w:b/>
          <w:bCs/>
          <w:i/>
          <w:iCs/>
          <w:lang w:val="en-GB" w:eastAsia="ja-JP"/>
        </w:rPr>
        <w:t>Proposal 1</w:t>
      </w:r>
      <w:r w:rsidRPr="002D77C5">
        <w:rPr>
          <w:i/>
          <w:iCs/>
          <w:lang w:val="en-GB" w:eastAsia="ja-JP"/>
        </w:rPr>
        <w:t>: RAN2 agrees to leverage an implicit platform indicator/indication to the UE.</w:t>
      </w:r>
    </w:p>
    <w:p w14:paraId="570B32A7" w14:textId="77777777" w:rsidR="002D77C5" w:rsidRDefault="002D77C5" w:rsidP="006C5FC4">
      <w:pPr>
        <w:rPr>
          <w:rFonts w:ascii="Arial" w:hAnsi="Arial" w:cs="Arial"/>
          <w:bCs/>
          <w:i/>
          <w:iCs/>
          <w:lang w:val="en-GB" w:eastAsia="ja-JP"/>
        </w:rPr>
      </w:pPr>
    </w:p>
    <w:p w14:paraId="3F937485" w14:textId="36E04B53" w:rsidR="006301DC" w:rsidRDefault="006301DC" w:rsidP="002D77C5">
      <w:pPr>
        <w:pStyle w:val="Heading4"/>
        <w:numPr>
          <w:ilvl w:val="2"/>
          <w:numId w:val="43"/>
        </w:numPr>
        <w:ind w:left="810" w:hanging="810"/>
      </w:pPr>
      <w:r>
        <w:t xml:space="preserve">Implied </w:t>
      </w:r>
      <w:r w:rsidR="00B82460">
        <w:t xml:space="preserve">NTN </w:t>
      </w:r>
      <w:r>
        <w:t>Indicator(s)</w:t>
      </w:r>
      <w:r w:rsidR="00B82460">
        <w:t xml:space="preserve"> Options</w:t>
      </w:r>
    </w:p>
    <w:p w14:paraId="42B994BE" w14:textId="01E69A9E" w:rsidR="006301DC" w:rsidRPr="006301DC" w:rsidRDefault="006301DC" w:rsidP="006301DC">
      <w:pPr>
        <w:pStyle w:val="Heading4"/>
      </w:pPr>
      <w:r>
        <w:t>2.2.2.1 Frequency Layer Identification</w:t>
      </w:r>
    </w:p>
    <w:p w14:paraId="767E1A65" w14:textId="7DF188D5" w:rsidR="005376E3" w:rsidRDefault="005376E3" w:rsidP="002D77C5">
      <w:r>
        <w:t xml:space="preserve">One type of implied indication could be frequency layer identification to determine the platform type. In this case, the UE could be pre-configured to associate a frequency band with a </w:t>
      </w:r>
      <w:bookmarkStart w:id="1" w:name="_Hlk60141294"/>
      <w:r>
        <w:t>particular platform (TN/NTN, or NTN type). However, it should be noted that TNs and NTNs may be deployed in the same bands.</w:t>
      </w:r>
      <w:bookmarkEnd w:id="1"/>
    </w:p>
    <w:p w14:paraId="76B30614" w14:textId="76B59C13" w:rsidR="007063CB" w:rsidRPr="002D77C5" w:rsidRDefault="007063CB" w:rsidP="002D77C5">
      <w:pPr>
        <w:rPr>
          <w:i/>
          <w:iCs/>
          <w:lang w:val="en-GB"/>
        </w:rPr>
      </w:pPr>
      <w:r w:rsidRPr="002D77C5">
        <w:rPr>
          <w:b/>
          <w:bCs/>
          <w:i/>
          <w:iCs/>
          <w:lang w:val="en-GB" w:eastAsia="ja-JP"/>
        </w:rPr>
        <w:t>Observation 5:</w:t>
      </w:r>
      <w:r w:rsidRPr="002D77C5">
        <w:rPr>
          <w:i/>
          <w:iCs/>
          <w:lang w:val="en-GB" w:eastAsia="ja-JP"/>
        </w:rPr>
        <w:t xml:space="preserve"> </w:t>
      </w:r>
      <w:r w:rsidRPr="002D77C5">
        <w:rPr>
          <w:i/>
          <w:iCs/>
          <w:lang w:val="en-GB"/>
        </w:rPr>
        <w:t>Association of a frequency band with a particular platform (TN/NTN, or NTN type) may help identify a network type. However, TNs and NTNs may be deployed in the same bands</w:t>
      </w:r>
      <w:r w:rsidR="006C704E" w:rsidRPr="002D77C5">
        <w:rPr>
          <w:i/>
          <w:iCs/>
          <w:lang w:val="en-GB"/>
        </w:rPr>
        <w:t>, which likely requires some other additional indicator</w:t>
      </w:r>
      <w:r w:rsidRPr="002D77C5">
        <w:rPr>
          <w:i/>
          <w:iCs/>
          <w:lang w:val="en-GB"/>
        </w:rPr>
        <w:t>.</w:t>
      </w:r>
    </w:p>
    <w:p w14:paraId="361B46EB" w14:textId="77777777" w:rsidR="007063CB" w:rsidRDefault="007063CB" w:rsidP="005376E3">
      <w:pPr>
        <w:pStyle w:val="iBodyText"/>
      </w:pPr>
    </w:p>
    <w:p w14:paraId="0296DF58" w14:textId="1BBB67DD" w:rsidR="006301DC" w:rsidRPr="006301DC" w:rsidRDefault="006301DC" w:rsidP="006301DC">
      <w:pPr>
        <w:pStyle w:val="Heading4"/>
      </w:pPr>
      <w:r>
        <w:t>2.2.2.2 Timing Relationship Offset Identification</w:t>
      </w:r>
    </w:p>
    <w:p w14:paraId="23807E7F" w14:textId="26B39C8D" w:rsidR="006301DC" w:rsidRDefault="006301DC" w:rsidP="002D77C5">
      <w:r>
        <w:t>RAN1 has agreed the following regarding a timing relationship offset for initial access</w:t>
      </w:r>
      <w:r w:rsidR="00D612B6">
        <w:t xml:space="preserve"> [3]</w:t>
      </w:r>
      <w:r>
        <w:t>:</w:t>
      </w:r>
    </w:p>
    <w:p w14:paraId="08C16A30" w14:textId="4578C163" w:rsidR="006301DC" w:rsidRDefault="006301DC" w:rsidP="002D77C5">
      <w:r w:rsidRPr="006301DC">
        <w:t>•</w:t>
      </w:r>
      <w:r w:rsidRPr="006301DC">
        <w:tab/>
        <w:t>For K_offset configured in system information and used in initial access, at least a cell specific K_offset configuration, which is used in all beams of a cell, should be supported.</w:t>
      </w:r>
    </w:p>
    <w:p w14:paraId="0CDBB563" w14:textId="77777777" w:rsidR="006301DC" w:rsidRDefault="006301DC" w:rsidP="002D77C5">
      <w:r>
        <w:t xml:space="preserve">With the assumption that a timing relationship offset is necessary and to be delivered to the UE from the network for initial access, the existence of this offset can be inferred by the UE to determine not only that the platform of the cell is NTN, but also that the platform is of a specific NTN type. </w:t>
      </w:r>
    </w:p>
    <w:p w14:paraId="7902279B" w14:textId="4E6F12FE" w:rsidR="007063CB" w:rsidRDefault="006301DC" w:rsidP="002D77C5">
      <w:r>
        <w:t>This is possible given the relationship between the amount of timing relationship offset specific to a given NTN platform deployment. That is, low-orbiting SVs will require a smaller timing offset versus a high altitude-orbiting SV. Based on the offset (or offset range), an NTN-capable UE can determine not only the NTN platform, but also distinguish between the various NTN types.</w:t>
      </w:r>
      <w:r w:rsidR="007063CB">
        <w:t xml:space="preserve"> Alternatively, if there is no value or missing value for the timing relationship offset, the UE can assume that the cell is TN platform.</w:t>
      </w:r>
    </w:p>
    <w:p w14:paraId="0B990645" w14:textId="7990EF75" w:rsidR="007063CB" w:rsidRDefault="007063CB" w:rsidP="002D77C5">
      <w:r>
        <w:t xml:space="preserve">Furthermore, the determination of Platform type as well as specific NTN type </w:t>
      </w:r>
      <w:r w:rsidR="002D77C5">
        <w:t>could</w:t>
      </w:r>
      <w:r>
        <w:t xml:space="preserve"> be</w:t>
      </w:r>
      <w:r w:rsidR="002D77C5">
        <w:t xml:space="preserve"> further</w:t>
      </w:r>
      <w:r>
        <w:t xml:space="preserve"> leveraged for platform prioritization and cell (re)selection.</w:t>
      </w:r>
    </w:p>
    <w:p w14:paraId="782ADEC6" w14:textId="5A53B8AA" w:rsidR="006C704E" w:rsidRDefault="006C704E" w:rsidP="002D77C5">
      <w:pPr>
        <w:rPr>
          <w:i/>
          <w:iCs/>
        </w:rPr>
      </w:pPr>
      <w:r w:rsidRPr="002D77C5">
        <w:rPr>
          <w:b/>
          <w:i/>
          <w:iCs/>
          <w:lang w:val="en-GB" w:eastAsia="ja-JP"/>
        </w:rPr>
        <w:t xml:space="preserve">Observation 6: </w:t>
      </w:r>
      <w:r w:rsidRPr="002D77C5">
        <w:rPr>
          <w:i/>
          <w:iCs/>
        </w:rPr>
        <w:t>The existence of a timing relationship offset can be inferred by the UE to determine not only that the platform of the cell is NTN, but also that the platform is of a specific NTN type.</w:t>
      </w:r>
    </w:p>
    <w:p w14:paraId="58E04033" w14:textId="77777777" w:rsidR="002D77C5" w:rsidRPr="002D77C5" w:rsidRDefault="002D77C5" w:rsidP="002D77C5">
      <w:pPr>
        <w:rPr>
          <w:i/>
          <w:iCs/>
        </w:rPr>
      </w:pPr>
    </w:p>
    <w:p w14:paraId="719950B4" w14:textId="4823E418" w:rsidR="007063CB" w:rsidRDefault="007063CB" w:rsidP="007063CB">
      <w:pPr>
        <w:pStyle w:val="Heading4"/>
      </w:pPr>
      <w:r>
        <w:t xml:space="preserve">2.2.2.3 </w:t>
      </w:r>
      <w:r w:rsidRPr="007063CB">
        <w:t xml:space="preserve">Presence of NTN-specific </w:t>
      </w:r>
      <w:r w:rsidR="00423BDF">
        <w:t>SI</w:t>
      </w:r>
      <w:r w:rsidRPr="007063CB">
        <w:t xml:space="preserve"> </w:t>
      </w:r>
      <w:r>
        <w:t xml:space="preserve">for Indication </w:t>
      </w:r>
    </w:p>
    <w:p w14:paraId="48AAB757" w14:textId="1951EDA0" w:rsidR="006C704E" w:rsidRDefault="007063CB" w:rsidP="002D77C5">
      <w:r>
        <w:t xml:space="preserve"> </w:t>
      </w:r>
      <w:r w:rsidR="006C704E">
        <w:t xml:space="preserve">There are two </w:t>
      </w:r>
      <w:r w:rsidR="00423BDF">
        <w:t>options</w:t>
      </w:r>
      <w:r w:rsidR="006C704E">
        <w:t xml:space="preserve"> or combination of </w:t>
      </w:r>
      <w:r w:rsidR="00423BDF">
        <w:t>options</w:t>
      </w:r>
      <w:r w:rsidR="006C704E">
        <w:t xml:space="preserve"> for this </w:t>
      </w:r>
      <w:r w:rsidR="00423BDF">
        <w:t xml:space="preserve">type of </w:t>
      </w:r>
      <w:r w:rsidR="006C704E">
        <w:t>solution:</w:t>
      </w:r>
    </w:p>
    <w:p w14:paraId="584859CC" w14:textId="7715E0AC" w:rsidR="006C704E" w:rsidRDefault="006C704E" w:rsidP="002D77C5">
      <w:pPr>
        <w:pStyle w:val="ListParagraph"/>
        <w:numPr>
          <w:ilvl w:val="0"/>
          <w:numId w:val="44"/>
        </w:numPr>
      </w:pPr>
      <w:r>
        <w:t xml:space="preserve">NTN cells are determined by System Information Blocks (SIBs) either in an NTN-specific SIB or an existing SIB modified to support NTN system information. In this case, SIB1 would be broadcasted by the gNB and indicate that there exists NTN SIB(s) to be scheduled. </w:t>
      </w:r>
    </w:p>
    <w:p w14:paraId="6AA9D51A" w14:textId="77777777" w:rsidR="006C704E" w:rsidRDefault="006C704E" w:rsidP="002D77C5">
      <w:pPr>
        <w:pStyle w:val="ListParagraph"/>
        <w:numPr>
          <w:ilvl w:val="0"/>
          <w:numId w:val="44"/>
        </w:numPr>
      </w:pPr>
      <w:r>
        <w:t xml:space="preserve">Furthermore SI (if Satellite ephemeris is included) would also determine the type of NTN, e.g. GEO, LEO, HAPS, etc. For example, a Non-geostationary orbiting satellite would likely </w:t>
      </w:r>
      <w:r>
        <w:lastRenderedPageBreak/>
        <w:t>have additional parameters for trajectory, velocity, etc. or formatted/encoded differently based on platform type.</w:t>
      </w:r>
    </w:p>
    <w:p w14:paraId="1061392A" w14:textId="753C64F4" w:rsidR="006C704E" w:rsidRDefault="006C704E" w:rsidP="002D77C5">
      <w:r>
        <w:t>In the simplest form, the mere existence of NTN System Information can enable the UE to determine the platform supported by the cell is NTN</w:t>
      </w:r>
      <w:r w:rsidR="00423BDF">
        <w:t xml:space="preserve">, e.g., IE </w:t>
      </w:r>
      <w:r w:rsidR="00423BDF" w:rsidRPr="005307C5">
        <w:rPr>
          <w:i/>
          <w:iCs/>
        </w:rPr>
        <w:t>si-SchedulingInfo</w:t>
      </w:r>
      <w:r w:rsidR="00423BDF">
        <w:t xml:space="preserve"> might include sibType(s) associated with NTN</w:t>
      </w:r>
      <w:r>
        <w:t xml:space="preserve">. </w:t>
      </w:r>
    </w:p>
    <w:p w14:paraId="7CDAB740" w14:textId="77777777" w:rsidR="006C704E" w:rsidRPr="004F04EB" w:rsidRDefault="006C704E" w:rsidP="002D77C5">
      <w:pPr>
        <w:rPr>
          <w:rFonts w:ascii="Arial" w:eastAsia="Times New Roman" w:hAnsi="Arial" w:cs="Arial"/>
        </w:rPr>
      </w:pPr>
    </w:p>
    <w:p w14:paraId="6DB51EE3" w14:textId="5EA3BA62" w:rsidR="006C704E" w:rsidRDefault="006C704E" w:rsidP="002D77C5">
      <w:pPr>
        <w:rPr>
          <w:lang w:eastAsia="ja-JP"/>
        </w:rPr>
      </w:pPr>
      <w:r>
        <w:t xml:space="preserve">Since the UE may have to decode and process additional system information to determine the type of NTN cell, </w:t>
      </w:r>
      <w:r w:rsidR="00423BDF">
        <w:t xml:space="preserve">a </w:t>
      </w:r>
      <w:r w:rsidRPr="002D382A">
        <w:rPr>
          <w:lang w:eastAsia="ja-JP"/>
        </w:rPr>
        <w:t xml:space="preserve">spare bit in </w:t>
      </w:r>
      <w:r>
        <w:rPr>
          <w:lang w:eastAsia="ja-JP"/>
        </w:rPr>
        <w:t xml:space="preserve">the </w:t>
      </w:r>
      <w:r w:rsidRPr="002D382A">
        <w:rPr>
          <w:lang w:eastAsia="ja-JP"/>
        </w:rPr>
        <w:t xml:space="preserve">MIB </w:t>
      </w:r>
      <w:r>
        <w:rPr>
          <w:lang w:eastAsia="ja-JP"/>
        </w:rPr>
        <w:t xml:space="preserve">may be added to </w:t>
      </w:r>
      <w:r w:rsidRPr="002D382A">
        <w:rPr>
          <w:lang w:eastAsia="ja-JP"/>
        </w:rPr>
        <w:t xml:space="preserve">indicate NTN </w:t>
      </w:r>
      <w:r>
        <w:rPr>
          <w:lang w:eastAsia="ja-JP"/>
        </w:rPr>
        <w:t xml:space="preserve">platform (flag </w:t>
      </w:r>
      <w:proofErr w:type="gramStart"/>
      <w:r>
        <w:rPr>
          <w:lang w:eastAsia="ja-JP"/>
        </w:rPr>
        <w:t>not present</w:t>
      </w:r>
      <w:proofErr w:type="gramEnd"/>
      <w:r>
        <w:rPr>
          <w:lang w:eastAsia="ja-JP"/>
        </w:rPr>
        <w:t xml:space="preserve"> assumes TN platform). This may be utilized </w:t>
      </w:r>
      <w:r w:rsidRPr="002D382A">
        <w:rPr>
          <w:lang w:eastAsia="ja-JP"/>
        </w:rPr>
        <w:t xml:space="preserve">in combination with some other control information (e.g., implicit indication in the MIB) or indication in SIB1 to determine the NTN type in case the indicator in MIB indicates NTN platform. </w:t>
      </w:r>
      <w:r>
        <w:rPr>
          <w:lang w:eastAsia="ja-JP"/>
        </w:rPr>
        <w:t>If the UE does not support NTN, the</w:t>
      </w:r>
      <w:r w:rsidRPr="002D382A">
        <w:rPr>
          <w:lang w:eastAsia="ja-JP"/>
        </w:rPr>
        <w:t xml:space="preserve"> UE may ignore the </w:t>
      </w:r>
      <w:r>
        <w:rPr>
          <w:lang w:eastAsia="ja-JP"/>
        </w:rPr>
        <w:t xml:space="preserve">cells with the </w:t>
      </w:r>
      <w:r w:rsidRPr="002D382A">
        <w:rPr>
          <w:lang w:eastAsia="ja-JP"/>
        </w:rPr>
        <w:t>additional indication for NTN type (e.g., LEO, MEO, GEO, etc</w:t>
      </w:r>
      <w:r w:rsidR="004327BC">
        <w:rPr>
          <w:lang w:eastAsia="ja-JP"/>
        </w:rPr>
        <w:t>.</w:t>
      </w:r>
      <w:r w:rsidRPr="002D382A">
        <w:rPr>
          <w:lang w:eastAsia="ja-JP"/>
        </w:rPr>
        <w:t>).</w:t>
      </w:r>
      <w:r>
        <w:rPr>
          <w:lang w:eastAsia="ja-JP"/>
        </w:rPr>
        <w:t xml:space="preserve"> If the UE does not support TN, the</w:t>
      </w:r>
      <w:r w:rsidRPr="002D382A">
        <w:rPr>
          <w:lang w:eastAsia="ja-JP"/>
        </w:rPr>
        <w:t xml:space="preserve"> UE may ignore </w:t>
      </w:r>
      <w:r>
        <w:rPr>
          <w:lang w:eastAsia="ja-JP"/>
        </w:rPr>
        <w:t>any TN cells that are broadcasting without the NTN indicator</w:t>
      </w:r>
      <w:r w:rsidRPr="002D382A">
        <w:rPr>
          <w:lang w:eastAsia="ja-JP"/>
        </w:rPr>
        <w:t>.</w:t>
      </w:r>
    </w:p>
    <w:p w14:paraId="6492908C" w14:textId="77777777" w:rsidR="00D763E1" w:rsidRDefault="00D763E1" w:rsidP="002D77C5">
      <w:pPr>
        <w:rPr>
          <w:lang w:eastAsia="ja-JP"/>
        </w:rPr>
      </w:pPr>
    </w:p>
    <w:p w14:paraId="5EA927B6" w14:textId="653C7E7D" w:rsidR="00423BDF" w:rsidRDefault="00423BDF" w:rsidP="002D77C5">
      <w:r w:rsidRPr="00E272DA">
        <w:rPr>
          <w:b/>
          <w:i/>
          <w:iCs/>
          <w:lang w:val="en-GB" w:eastAsia="ja-JP"/>
        </w:rPr>
        <w:t xml:space="preserve">Observation </w:t>
      </w:r>
      <w:r>
        <w:rPr>
          <w:b/>
          <w:i/>
          <w:iCs/>
          <w:lang w:val="en-GB" w:eastAsia="ja-JP"/>
        </w:rPr>
        <w:t>7</w:t>
      </w:r>
      <w:r w:rsidRPr="00E272DA">
        <w:rPr>
          <w:b/>
          <w:i/>
          <w:iCs/>
          <w:lang w:val="en-GB" w:eastAsia="ja-JP"/>
        </w:rPr>
        <w:t xml:space="preserve">: </w:t>
      </w:r>
      <w:r>
        <w:t xml:space="preserve">The existence of </w:t>
      </w:r>
      <w:r w:rsidR="00D763E1">
        <w:t xml:space="preserve">NTN-specific </w:t>
      </w:r>
      <w:r>
        <w:t>SI can be inferred by the UE to determine not only that the platform of the cell is NTN, but also that the platform is of a specific NTN type.</w:t>
      </w:r>
      <w:r w:rsidR="00D763E1">
        <w:t xml:space="preserve"> Conversely, exclusion of NTN-specific SI can determine TN.</w:t>
      </w:r>
      <w:r>
        <w:t xml:space="preserve"> This </w:t>
      </w:r>
      <w:r w:rsidR="00D763E1">
        <w:t xml:space="preserve">implicit indication </w:t>
      </w:r>
      <w:r>
        <w:t>could be combined with some MIB specific encoding/indication as well.</w:t>
      </w:r>
    </w:p>
    <w:p w14:paraId="6E1E891E" w14:textId="35D3290A" w:rsidR="007063CB" w:rsidRDefault="007063CB" w:rsidP="002D77C5"/>
    <w:p w14:paraId="00DA388F" w14:textId="6C984EB2" w:rsidR="002D77C5" w:rsidRPr="002D77C5" w:rsidRDefault="002D77C5" w:rsidP="002D77C5">
      <w:pPr>
        <w:rPr>
          <w:i/>
          <w:iCs/>
        </w:rPr>
      </w:pPr>
      <w:r w:rsidRPr="002D77C5">
        <w:rPr>
          <w:b/>
          <w:bCs/>
          <w:i/>
          <w:iCs/>
        </w:rPr>
        <w:t>Proposal 2:</w:t>
      </w:r>
      <w:r w:rsidRPr="002D77C5">
        <w:rPr>
          <w:i/>
          <w:iCs/>
        </w:rPr>
        <w:t xml:space="preserve"> RAN2 agrees to leverage NTN-specific System Information to implicitly determine the platform type (NTN vs. TN) and NTN-type (LEO/MEO (earth-moving cells), GEO, or HAPS). Specific SI for platform indication is FFS.</w:t>
      </w: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sidRPr="00283C05">
        <w:rPr>
          <w:rFonts w:eastAsia="Times New Roman" w:cs="Arial"/>
          <w:szCs w:val="20"/>
          <w:lang w:val="en-GB" w:eastAsia="en-GB"/>
        </w:rPr>
        <w:t>3</w:t>
      </w:r>
      <w:r w:rsidR="00954FE6">
        <w:rPr>
          <w:rFonts w:eastAsia="Times New Roman" w:cs="Arial"/>
          <w:szCs w:val="20"/>
          <w:lang w:val="en-GB" w:eastAsia="en-GB"/>
        </w:rPr>
        <w:t xml:space="preserve">  </w:t>
      </w:r>
      <w:r w:rsidRPr="00283C05">
        <w:rPr>
          <w:rFonts w:eastAsia="Times New Roman" w:cs="Arial"/>
          <w:szCs w:val="20"/>
          <w:lang w:val="en-GB" w:eastAsia="en-GB"/>
        </w:rPr>
        <w:t>Conclusion</w:t>
      </w:r>
      <w:proofErr w:type="gramEnd"/>
    </w:p>
    <w:bookmarkEnd w:id="0"/>
    <w:p w14:paraId="62D82C72" w14:textId="4F87A145" w:rsidR="00E809FD" w:rsidRPr="00283C05" w:rsidRDefault="00A469A4" w:rsidP="002D77C5">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214FA535" w14:textId="77777777" w:rsidR="00D763E1" w:rsidRPr="002D77C5" w:rsidRDefault="00D763E1" w:rsidP="002D77C5">
      <w:pPr>
        <w:rPr>
          <w:i/>
          <w:iCs/>
          <w:lang w:val="en-GB" w:eastAsia="ja-JP"/>
        </w:rPr>
      </w:pPr>
      <w:r w:rsidRPr="002D77C5">
        <w:rPr>
          <w:b/>
          <w:i/>
          <w:iCs/>
          <w:lang w:val="en-GB" w:eastAsia="ja-JP"/>
        </w:rPr>
        <w:t xml:space="preserve">Observation 1: </w:t>
      </w:r>
      <w:r w:rsidRPr="002D77C5">
        <w:rPr>
          <w:rFonts w:eastAsia="Times New Roman"/>
          <w:i/>
          <w:iCs/>
          <w:lang w:val="en-GB"/>
        </w:rPr>
        <w:t>The network type (i.e., TN or NTN) shall be known to UE</w:t>
      </w:r>
      <w:r w:rsidRPr="002D77C5">
        <w:rPr>
          <w:i/>
          <w:iCs/>
          <w:lang w:val="en-GB" w:eastAsia="ja-JP"/>
        </w:rPr>
        <w:t>.</w:t>
      </w:r>
    </w:p>
    <w:p w14:paraId="0781A5FE" w14:textId="77777777" w:rsidR="00D763E1" w:rsidRPr="002D77C5" w:rsidRDefault="00D763E1" w:rsidP="002D77C5">
      <w:pPr>
        <w:rPr>
          <w:i/>
          <w:iCs/>
          <w:lang w:val="en-GB" w:eastAsia="ja-JP"/>
        </w:rPr>
      </w:pPr>
      <w:r w:rsidRPr="002D77C5">
        <w:rPr>
          <w:b/>
          <w:i/>
          <w:iCs/>
          <w:lang w:val="en-GB" w:eastAsia="ja-JP"/>
        </w:rPr>
        <w:t xml:space="preserve">Observation 2: </w:t>
      </w:r>
      <w:r w:rsidRPr="002D77C5">
        <w:rPr>
          <w:rFonts w:eastAsia="Times New Roman"/>
          <w:i/>
          <w:iCs/>
          <w:lang w:val="en-GB"/>
        </w:rPr>
        <w:t>The NTN type (e.g., LEO, MEO) shall be known to UE</w:t>
      </w:r>
      <w:r w:rsidRPr="002D77C5">
        <w:rPr>
          <w:i/>
          <w:iCs/>
          <w:lang w:val="en-GB" w:eastAsia="ja-JP"/>
        </w:rPr>
        <w:t>.</w:t>
      </w:r>
    </w:p>
    <w:p w14:paraId="31803C41" w14:textId="77777777" w:rsidR="00D763E1" w:rsidRPr="002D77C5" w:rsidRDefault="00D763E1" w:rsidP="002D77C5">
      <w:pPr>
        <w:rPr>
          <w:i/>
          <w:iCs/>
          <w:lang w:val="en-GB" w:eastAsia="ja-JP"/>
        </w:rPr>
      </w:pPr>
      <w:r w:rsidRPr="002D77C5">
        <w:rPr>
          <w:b/>
          <w:i/>
          <w:iCs/>
          <w:lang w:val="en-GB" w:eastAsia="ja-JP"/>
        </w:rPr>
        <w:t xml:space="preserve">Observation 3: </w:t>
      </w:r>
      <w:r w:rsidRPr="002D77C5">
        <w:rPr>
          <w:rFonts w:eastAsia="Times New Roman"/>
          <w:i/>
          <w:iCs/>
          <w:lang w:val="en-GB"/>
        </w:rPr>
        <w:t>Explicit platform indicator/indication may not be necessary as other already available information may be signalled from the gNB to the UE</w:t>
      </w:r>
      <w:r w:rsidRPr="002D77C5">
        <w:rPr>
          <w:i/>
          <w:iCs/>
          <w:lang w:val="en-GB" w:eastAsia="ja-JP"/>
        </w:rPr>
        <w:t>.</w:t>
      </w:r>
    </w:p>
    <w:p w14:paraId="1F945871" w14:textId="77777777" w:rsidR="00D763E1" w:rsidRPr="002D77C5" w:rsidRDefault="00D763E1" w:rsidP="002D77C5">
      <w:pPr>
        <w:rPr>
          <w:rFonts w:eastAsia="Times New Roman"/>
          <w:i/>
          <w:iCs/>
          <w:lang w:val="en-GB"/>
        </w:rPr>
      </w:pPr>
      <w:r w:rsidRPr="002D77C5">
        <w:rPr>
          <w:b/>
          <w:i/>
          <w:iCs/>
          <w:lang w:val="en-GB" w:eastAsia="ja-JP"/>
        </w:rPr>
        <w:t xml:space="preserve">Observation 4: </w:t>
      </w:r>
      <w:r w:rsidRPr="002D77C5">
        <w:rPr>
          <w:rFonts w:eastAsia="Times New Roman"/>
          <w:i/>
          <w:iCs/>
          <w:lang w:val="en-GB"/>
        </w:rPr>
        <w:t>Implicit platform indicator/indication does not require any additional overhead nor require additional definition of a separate indicator.</w:t>
      </w:r>
    </w:p>
    <w:p w14:paraId="53E07906" w14:textId="77777777" w:rsidR="00D763E1" w:rsidRPr="002D77C5" w:rsidRDefault="00D763E1" w:rsidP="002D77C5">
      <w:pPr>
        <w:rPr>
          <w:rFonts w:eastAsia="Times New Roman"/>
          <w:i/>
          <w:iCs/>
          <w:lang w:val="en-GB"/>
        </w:rPr>
      </w:pPr>
      <w:r w:rsidRPr="002D77C5">
        <w:rPr>
          <w:b/>
          <w:i/>
          <w:iCs/>
          <w:lang w:val="en-GB" w:eastAsia="ja-JP"/>
        </w:rPr>
        <w:t xml:space="preserve">Observation 5: </w:t>
      </w:r>
      <w:r w:rsidRPr="002D77C5">
        <w:rPr>
          <w:rFonts w:eastAsia="Times New Roman"/>
          <w:i/>
          <w:iCs/>
          <w:lang w:val="en-GB"/>
        </w:rPr>
        <w:t>Association of a frequency band with a particular platform (TN/NTN, or NTN type) may help identify a network type. However, TNs and NTNs may be deployed in the same bands, which likely requires some other additional indicator.</w:t>
      </w:r>
    </w:p>
    <w:p w14:paraId="56A18128" w14:textId="77777777" w:rsidR="00D763E1" w:rsidRPr="002D77C5" w:rsidRDefault="00D763E1" w:rsidP="002D77C5">
      <w:pPr>
        <w:rPr>
          <w:i/>
          <w:iCs/>
        </w:rPr>
      </w:pPr>
      <w:r w:rsidRPr="002D77C5">
        <w:rPr>
          <w:b/>
          <w:i/>
          <w:iCs/>
          <w:lang w:val="en-GB" w:eastAsia="ja-JP"/>
        </w:rPr>
        <w:t xml:space="preserve">Observation 6: </w:t>
      </w:r>
      <w:r w:rsidRPr="002D77C5">
        <w:rPr>
          <w:i/>
          <w:iCs/>
        </w:rPr>
        <w:t>The existence of a timing relationship offset can be inferred by the UE to determine not only that the platform of the cell is NTN, but also that the platform is of a specific NTN type.</w:t>
      </w:r>
    </w:p>
    <w:p w14:paraId="446C7208" w14:textId="77777777" w:rsidR="00D763E1" w:rsidRPr="002D77C5" w:rsidRDefault="00D763E1" w:rsidP="002D77C5">
      <w:pPr>
        <w:rPr>
          <w:i/>
          <w:iCs/>
        </w:rPr>
      </w:pPr>
      <w:r w:rsidRPr="002D77C5">
        <w:rPr>
          <w:b/>
          <w:i/>
          <w:iCs/>
          <w:lang w:val="en-GB" w:eastAsia="ja-JP"/>
        </w:rPr>
        <w:t xml:space="preserve">Observation 7: </w:t>
      </w:r>
      <w:r w:rsidRPr="002D77C5">
        <w:rPr>
          <w:i/>
          <w:iCs/>
        </w:rPr>
        <w:t>The existence of NTN-specific SI can be inferred by the UE to determine not only that the platform of the cell is NTN, but also that the platform is of a specific NTN type. Conversely, exclusion of NTN-specific SI can determine TN. This implicit indication could be combined with some MIB specific encoding/indication as well.</w:t>
      </w:r>
    </w:p>
    <w:p w14:paraId="428FAFCE" w14:textId="00464729" w:rsidR="00511572" w:rsidRPr="002D77C5" w:rsidRDefault="00511572" w:rsidP="002D77C5">
      <w:pPr>
        <w:rPr>
          <w:i/>
          <w:iCs/>
          <w:lang w:val="en-GB" w:eastAsia="ja-JP"/>
        </w:rPr>
      </w:pPr>
    </w:p>
    <w:p w14:paraId="74F8E102" w14:textId="77777777" w:rsidR="002D77C5" w:rsidRPr="002D77C5" w:rsidRDefault="002D77C5" w:rsidP="002D77C5">
      <w:pPr>
        <w:rPr>
          <w:i/>
          <w:iCs/>
          <w:lang w:val="en-GB" w:eastAsia="ja-JP"/>
        </w:rPr>
      </w:pPr>
      <w:r w:rsidRPr="002D77C5">
        <w:rPr>
          <w:b/>
          <w:bCs/>
          <w:i/>
          <w:iCs/>
          <w:lang w:val="en-GB" w:eastAsia="ja-JP"/>
        </w:rPr>
        <w:t>Proposal 1:</w:t>
      </w:r>
      <w:r w:rsidRPr="002D77C5">
        <w:rPr>
          <w:i/>
          <w:iCs/>
          <w:lang w:val="en-GB" w:eastAsia="ja-JP"/>
        </w:rPr>
        <w:t xml:space="preserve"> RAN2 agrees to leverage an implicit platform indicator/indication to the UE.</w:t>
      </w:r>
    </w:p>
    <w:p w14:paraId="23249F7A" w14:textId="0ADD073C" w:rsidR="002D77C5" w:rsidRPr="002D77C5" w:rsidRDefault="002D77C5" w:rsidP="002D77C5">
      <w:pPr>
        <w:rPr>
          <w:i/>
          <w:iCs/>
          <w:lang w:val="en-GB" w:eastAsia="ja-JP"/>
        </w:rPr>
      </w:pPr>
      <w:r w:rsidRPr="002D77C5">
        <w:rPr>
          <w:b/>
          <w:bCs/>
          <w:i/>
          <w:iCs/>
          <w:lang w:val="en-GB" w:eastAsia="ja-JP"/>
        </w:rPr>
        <w:t>Proposal 2:</w:t>
      </w:r>
      <w:r w:rsidRPr="002D77C5">
        <w:rPr>
          <w:i/>
          <w:iCs/>
          <w:lang w:val="en-GB" w:eastAsia="ja-JP"/>
        </w:rPr>
        <w:t xml:space="preserve"> RAN2 agrees to leverage NTN-specific System Information to implicitly determine the platform type (NTN vs. TN) and NTN-type (LEO/MEO (earth-moving cells), GEO, or HAPS). Specific SI for platform indication should be further discussed by RAN2.</w:t>
      </w:r>
    </w:p>
    <w:p w14:paraId="74A84A96" w14:textId="77777777" w:rsidR="00954FE6" w:rsidRPr="002D77C5" w:rsidRDefault="00954FE6" w:rsidP="00954FE6">
      <w:pPr>
        <w:rPr>
          <w:rFonts w:ascii="Arial" w:hAnsi="Arial" w:cs="Arial"/>
          <w:i/>
          <w:iCs/>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Pr>
          <w:rFonts w:eastAsia="Times New Roman" w:cs="Arial"/>
          <w:szCs w:val="20"/>
          <w:lang w:val="en-GB" w:eastAsia="en-GB"/>
        </w:rPr>
        <w:t>4  References</w:t>
      </w:r>
      <w:proofErr w:type="gramEnd"/>
    </w:p>
    <w:p w14:paraId="268EF73A" w14:textId="3FB2B967" w:rsidR="00DD617C" w:rsidRDefault="00DD617C" w:rsidP="00B0144B">
      <w:pPr>
        <w:rPr>
          <w:lang w:eastAsia="ja-JP"/>
        </w:rPr>
      </w:pPr>
      <w:r w:rsidRPr="00283C05">
        <w:rPr>
          <w:lang w:eastAsia="ja-JP"/>
        </w:rPr>
        <w:t xml:space="preserve">[1] </w:t>
      </w:r>
      <w:r w:rsidR="008769AB">
        <w:rPr>
          <w:lang w:eastAsia="ja-JP"/>
        </w:rPr>
        <w:t xml:space="preserve">3GPP </w:t>
      </w:r>
      <w:r w:rsidR="00960006" w:rsidRPr="001A432A">
        <w:t>RP-210908</w:t>
      </w:r>
      <w:r w:rsidR="00960006" w:rsidRPr="00007DD4">
        <w:t xml:space="preserve">,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960006">
        <w:rPr>
          <w:lang w:eastAsia="ja-JP"/>
        </w:rPr>
        <w:t>March 2021</w:t>
      </w:r>
      <w:r w:rsidR="008769AB">
        <w:rPr>
          <w:lang w:eastAsia="ja-JP"/>
        </w:rPr>
        <w:t>.</w:t>
      </w:r>
    </w:p>
    <w:p w14:paraId="6947EF55" w14:textId="13465360" w:rsidR="00321B22" w:rsidRDefault="00321B22" w:rsidP="00B0144B">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60403818" w:rsidR="00D612B6" w:rsidRPr="00283C05" w:rsidRDefault="00D612B6" w:rsidP="00B0144B">
      <w:pPr>
        <w:rPr>
          <w:lang w:eastAsia="ja-JP"/>
        </w:rPr>
      </w:pPr>
      <w:r>
        <w:rPr>
          <w:lang w:eastAsia="ja-JP"/>
        </w:rPr>
        <w:t>[3] 3GPP MCC, “</w:t>
      </w:r>
      <w:r w:rsidRPr="00D612B6">
        <w:rPr>
          <w:lang w:eastAsia="ja-JP"/>
        </w:rPr>
        <w:t>Draft Report of 3GPP TSG RAN WG1 #103-e v0.2.0</w:t>
      </w:r>
      <w:r>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4FB48" w14:textId="77777777" w:rsidR="006F3B5E" w:rsidRDefault="006F3B5E" w:rsidP="00886706">
      <w:pPr>
        <w:spacing w:after="0" w:line="240" w:lineRule="auto"/>
      </w:pPr>
      <w:r>
        <w:separator/>
      </w:r>
    </w:p>
  </w:endnote>
  <w:endnote w:type="continuationSeparator" w:id="0">
    <w:p w14:paraId="1C56D412" w14:textId="77777777" w:rsidR="006F3B5E" w:rsidRDefault="006F3B5E"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FE61F" w14:textId="77777777" w:rsidR="006F3B5E" w:rsidRDefault="006F3B5E" w:rsidP="00886706">
      <w:pPr>
        <w:spacing w:after="0" w:line="240" w:lineRule="auto"/>
      </w:pPr>
      <w:r>
        <w:separator/>
      </w:r>
    </w:p>
  </w:footnote>
  <w:footnote w:type="continuationSeparator" w:id="0">
    <w:p w14:paraId="33659148" w14:textId="77777777" w:rsidR="006F3B5E" w:rsidRDefault="006F3B5E"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E3B12"/>
    <w:multiLevelType w:val="hybridMultilevel"/>
    <w:tmpl w:val="CEF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A0794"/>
    <w:multiLevelType w:val="multilevel"/>
    <w:tmpl w:val="93105ECA"/>
    <w:lvl w:ilvl="0">
      <w:start w:val="1"/>
      <w:numFmt w:val="decimal"/>
      <w:lvlText w:val="%1."/>
      <w:lvlJc w:val="left"/>
      <w:pPr>
        <w:ind w:left="720" w:hanging="360"/>
      </w:pPr>
    </w:lvl>
    <w:lvl w:ilvl="1">
      <w:start w:val="2"/>
      <w:numFmt w:val="decimal"/>
      <w:isLgl/>
      <w:lvlText w:val="%1.%2"/>
      <w:lvlJc w:val="left"/>
      <w:pPr>
        <w:ind w:left="1278" w:hanging="530"/>
      </w:pPr>
      <w:rPr>
        <w:rFonts w:hint="default"/>
      </w:rPr>
    </w:lvl>
    <w:lvl w:ilvl="2">
      <w:start w:val="2"/>
      <w:numFmt w:val="decimal"/>
      <w:isLgl/>
      <w:lvlText w:val="%1.%2.%3"/>
      <w:lvlJc w:val="left"/>
      <w:pPr>
        <w:ind w:left="1856" w:hanging="720"/>
      </w:pPr>
      <w:rPr>
        <w:rFonts w:hint="default"/>
      </w:rPr>
    </w:lvl>
    <w:lvl w:ilvl="3">
      <w:start w:val="1"/>
      <w:numFmt w:val="decimal"/>
      <w:isLgl/>
      <w:lvlText w:val="%1.%2.%3.%4"/>
      <w:lvlJc w:val="left"/>
      <w:pPr>
        <w:ind w:left="2604" w:hanging="1080"/>
      </w:pPr>
      <w:rPr>
        <w:rFonts w:hint="default"/>
      </w:rPr>
    </w:lvl>
    <w:lvl w:ilvl="4">
      <w:start w:val="1"/>
      <w:numFmt w:val="decimal"/>
      <w:isLgl/>
      <w:lvlText w:val="%1.%2.%3.%4.%5"/>
      <w:lvlJc w:val="left"/>
      <w:pPr>
        <w:ind w:left="2992"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28" w:hanging="1440"/>
      </w:pPr>
      <w:rPr>
        <w:rFonts w:hint="default"/>
      </w:rPr>
    </w:lvl>
    <w:lvl w:ilvl="7">
      <w:start w:val="1"/>
      <w:numFmt w:val="decimal"/>
      <w:isLgl/>
      <w:lvlText w:val="%1.%2.%3.%4.%5.%6.%7.%8"/>
      <w:lvlJc w:val="left"/>
      <w:pPr>
        <w:ind w:left="4876" w:hanging="1800"/>
      </w:pPr>
      <w:rPr>
        <w:rFonts w:hint="default"/>
      </w:rPr>
    </w:lvl>
    <w:lvl w:ilvl="8">
      <w:start w:val="1"/>
      <w:numFmt w:val="decimal"/>
      <w:isLgl/>
      <w:lvlText w:val="%1.%2.%3.%4.%5.%6.%7.%8.%9"/>
      <w:lvlJc w:val="left"/>
      <w:pPr>
        <w:ind w:left="5264" w:hanging="1800"/>
      </w:pPr>
      <w:rPr>
        <w:rFonts w:hint="default"/>
      </w:rPr>
    </w:lvl>
  </w:abstractNum>
  <w:abstractNum w:abstractNumId="39"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20"/>
  </w:num>
  <w:num w:numId="4">
    <w:abstractNumId w:val="13"/>
  </w:num>
  <w:num w:numId="5">
    <w:abstractNumId w:val="22"/>
  </w:num>
  <w:num w:numId="6">
    <w:abstractNumId w:val="31"/>
  </w:num>
  <w:num w:numId="7">
    <w:abstractNumId w:val="15"/>
  </w:num>
  <w:num w:numId="8">
    <w:abstractNumId w:val="28"/>
  </w:num>
  <w:num w:numId="9">
    <w:abstractNumId w:val="35"/>
  </w:num>
  <w:num w:numId="10">
    <w:abstractNumId w:val="4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8"/>
  </w:num>
  <w:num w:numId="16">
    <w:abstractNumId w:val="30"/>
  </w:num>
  <w:num w:numId="17">
    <w:abstractNumId w:val="42"/>
  </w:num>
  <w:num w:numId="18">
    <w:abstractNumId w:val="11"/>
  </w:num>
  <w:num w:numId="19">
    <w:abstractNumId w:val="14"/>
  </w:num>
  <w:num w:numId="20">
    <w:abstractNumId w:val="37"/>
  </w:num>
  <w:num w:numId="21">
    <w:abstractNumId w:val="6"/>
  </w:num>
  <w:num w:numId="22">
    <w:abstractNumId w:val="5"/>
  </w:num>
  <w:num w:numId="23">
    <w:abstractNumId w:val="7"/>
  </w:num>
  <w:num w:numId="24">
    <w:abstractNumId w:val="41"/>
  </w:num>
  <w:num w:numId="25">
    <w:abstractNumId w:val="23"/>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
  </w:num>
  <w:num w:numId="32">
    <w:abstractNumId w:val="19"/>
  </w:num>
  <w:num w:numId="33">
    <w:abstractNumId w:val="36"/>
  </w:num>
  <w:num w:numId="34">
    <w:abstractNumId w:val="39"/>
  </w:num>
  <w:num w:numId="35">
    <w:abstractNumId w:val="32"/>
  </w:num>
  <w:num w:numId="36">
    <w:abstractNumId w:val="10"/>
  </w:num>
  <w:num w:numId="37">
    <w:abstractNumId w:val="27"/>
  </w:num>
  <w:num w:numId="38">
    <w:abstractNumId w:val="25"/>
  </w:num>
  <w:num w:numId="39">
    <w:abstractNumId w:val="4"/>
  </w:num>
  <w:num w:numId="40">
    <w:abstractNumId w:val="1"/>
  </w:num>
  <w:num w:numId="41">
    <w:abstractNumId w:val="12"/>
  </w:num>
  <w:num w:numId="42">
    <w:abstractNumId w:val="9"/>
  </w:num>
  <w:num w:numId="43">
    <w:abstractNumId w:val="38"/>
  </w:num>
  <w:num w:numId="4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634B"/>
    <w:rsid w:val="001C7E2D"/>
    <w:rsid w:val="001D215C"/>
    <w:rsid w:val="001D264E"/>
    <w:rsid w:val="001D4417"/>
    <w:rsid w:val="001D549F"/>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7C5"/>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BC5"/>
    <w:rsid w:val="00341E7E"/>
    <w:rsid w:val="0034573C"/>
    <w:rsid w:val="00346171"/>
    <w:rsid w:val="00346500"/>
    <w:rsid w:val="00347D33"/>
    <w:rsid w:val="00353F9D"/>
    <w:rsid w:val="00357A6F"/>
    <w:rsid w:val="00360AC0"/>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3E7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703E"/>
    <w:rsid w:val="00415AAA"/>
    <w:rsid w:val="00417C6D"/>
    <w:rsid w:val="00420844"/>
    <w:rsid w:val="00421376"/>
    <w:rsid w:val="00421877"/>
    <w:rsid w:val="004233CC"/>
    <w:rsid w:val="00423BDF"/>
    <w:rsid w:val="00425C11"/>
    <w:rsid w:val="004302DC"/>
    <w:rsid w:val="004323AE"/>
    <w:rsid w:val="004327BC"/>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166"/>
    <w:rsid w:val="005D7CB2"/>
    <w:rsid w:val="005E0469"/>
    <w:rsid w:val="005E3223"/>
    <w:rsid w:val="005E3D27"/>
    <w:rsid w:val="005E4EE0"/>
    <w:rsid w:val="005E64C7"/>
    <w:rsid w:val="005E7A57"/>
    <w:rsid w:val="005E7BE3"/>
    <w:rsid w:val="005F0ADB"/>
    <w:rsid w:val="005F35D6"/>
    <w:rsid w:val="005F3AAF"/>
    <w:rsid w:val="005F496C"/>
    <w:rsid w:val="005F773A"/>
    <w:rsid w:val="005F7A36"/>
    <w:rsid w:val="00600521"/>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3B5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C2B7B"/>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5F45"/>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0006"/>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930C2"/>
    <w:rsid w:val="00A94557"/>
    <w:rsid w:val="00A947DD"/>
    <w:rsid w:val="00AA1634"/>
    <w:rsid w:val="00AA2489"/>
    <w:rsid w:val="00AA34B5"/>
    <w:rsid w:val="00AA6B29"/>
    <w:rsid w:val="00AA73E5"/>
    <w:rsid w:val="00AB3D94"/>
    <w:rsid w:val="00AB4B88"/>
    <w:rsid w:val="00AB500C"/>
    <w:rsid w:val="00AB53E5"/>
    <w:rsid w:val="00AB6A9B"/>
    <w:rsid w:val="00AB6C33"/>
    <w:rsid w:val="00AB7738"/>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44B"/>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554E"/>
    <w:rsid w:val="00B52D4C"/>
    <w:rsid w:val="00B53019"/>
    <w:rsid w:val="00B53253"/>
    <w:rsid w:val="00B55B8E"/>
    <w:rsid w:val="00B561B9"/>
    <w:rsid w:val="00B576AB"/>
    <w:rsid w:val="00B57C05"/>
    <w:rsid w:val="00B60B35"/>
    <w:rsid w:val="00B6112D"/>
    <w:rsid w:val="00B63706"/>
    <w:rsid w:val="00B63DF5"/>
    <w:rsid w:val="00B700BC"/>
    <w:rsid w:val="00B73E27"/>
    <w:rsid w:val="00B74984"/>
    <w:rsid w:val="00B751B9"/>
    <w:rsid w:val="00B75421"/>
    <w:rsid w:val="00B81D35"/>
    <w:rsid w:val="00B82460"/>
    <w:rsid w:val="00B83198"/>
    <w:rsid w:val="00B8453D"/>
    <w:rsid w:val="00B848FF"/>
    <w:rsid w:val="00B872BF"/>
    <w:rsid w:val="00B9416A"/>
    <w:rsid w:val="00B967D8"/>
    <w:rsid w:val="00B97A4D"/>
    <w:rsid w:val="00BA1F26"/>
    <w:rsid w:val="00BA20EC"/>
    <w:rsid w:val="00BA27B8"/>
    <w:rsid w:val="00BA3AB2"/>
    <w:rsid w:val="00BA696D"/>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43656"/>
    <w:rsid w:val="00C4692D"/>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67CFF"/>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DF6FEC"/>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7E"/>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66"/>
    <w:rPr>
      <w:rFonts w:ascii="Times New Roman" w:hAnsi="Times New Roman"/>
    </w:rPr>
  </w:style>
  <w:style w:type="paragraph" w:styleId="Heading1">
    <w:name w:val="heading 1"/>
    <w:aliases w:val="H1,h1,Heading 1 3GPP"/>
    <w:basedOn w:val="Normal"/>
    <w:next w:val="Normal"/>
    <w:link w:val="Heading1Char"/>
    <w:qFormat/>
    <w:rsid w:val="005F35D6"/>
    <w:pPr>
      <w:keepNext/>
      <w:keepLines/>
      <w:spacing w:before="240" w:after="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h1 Char1,Heading 1 3GPP Char"/>
    <w:basedOn w:val="DefaultParagraphFont"/>
    <w:link w:val="Heading1"/>
    <w:rsid w:val="005F35D6"/>
    <w:rPr>
      <w:rFonts w:ascii="Arial" w:eastAsiaTheme="majorEastAsia" w:hAnsi="Arial" w:cstheme="majorBidi"/>
      <w:sz w:val="36"/>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eastAsiaTheme="minorEastAsia" w:cs="Times New Roman"/>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eastAsia="MS Mincho" w:cs="Times New Roman"/>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4</cp:revision>
  <cp:lastPrinted>2020-08-07T06:54:00Z</cp:lastPrinted>
  <dcterms:created xsi:type="dcterms:W3CDTF">2021-04-01T16:08:00Z</dcterms:created>
  <dcterms:modified xsi:type="dcterms:W3CDTF">2021-04-02T03:31:00Z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